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uppressAutoHyphens/>
        <w:wordWrap w:val="0"/>
        <w:jc w:val="both"/>
        <w:rPr>
          <w:rFonts w:hint="default"/>
          <w:b/>
          <w:bCs w:val="0"/>
          <w:i w:val="0"/>
          <w:iCs w:val="0"/>
          <w:sz w:val="28"/>
          <w:szCs w:val="28"/>
          <w:highlight w:val="none"/>
          <w:lang w:val="ro-RO"/>
        </w:rPr>
      </w:pPr>
    </w:p>
    <w:p>
      <w:pPr>
        <w:numPr>
          <w:ilvl w:val="0"/>
          <w:numId w:val="0"/>
        </w:numPr>
        <w:suppressAutoHyphens/>
        <w:wordWrap w:val="0"/>
        <w:jc w:val="right"/>
        <w:rPr>
          <w:rFonts w:hint="default"/>
          <w:b/>
          <w:bCs w:val="0"/>
          <w:i w:val="0"/>
          <w:iCs w:val="0"/>
          <w:sz w:val="28"/>
          <w:szCs w:val="28"/>
          <w:highlight w:val="none"/>
          <w:lang w:val="ro-RO"/>
        </w:rPr>
      </w:pPr>
      <w:r>
        <w:rPr>
          <w:rFonts w:hint="default"/>
          <w:b/>
          <w:bCs w:val="0"/>
          <w:i w:val="0"/>
          <w:iCs w:val="0"/>
          <w:sz w:val="28"/>
          <w:szCs w:val="28"/>
          <w:highlight w:val="none"/>
          <w:lang w:val="ro-RO"/>
        </w:rPr>
        <w:t>Anexa nr. 4</w:t>
      </w:r>
    </w:p>
    <w:p>
      <w:pPr>
        <w:numPr>
          <w:ilvl w:val="0"/>
          <w:numId w:val="0"/>
        </w:numPr>
        <w:suppressAutoHyphens/>
        <w:wordWrap/>
        <w:jc w:val="center"/>
        <w:rPr>
          <w:rFonts w:hint="default"/>
          <w:b/>
          <w:bCs w:val="0"/>
          <w:i w:val="0"/>
          <w:iCs w:val="0"/>
          <w:sz w:val="28"/>
          <w:szCs w:val="28"/>
          <w:highlight w:val="none"/>
          <w:lang w:val="ro-RO"/>
        </w:rPr>
      </w:pPr>
      <w:r>
        <w:rPr>
          <w:rFonts w:hint="default"/>
          <w:b/>
          <w:bCs w:val="0"/>
          <w:i w:val="0"/>
          <w:iCs w:val="0"/>
          <w:sz w:val="28"/>
          <w:szCs w:val="28"/>
          <w:highlight w:val="none"/>
          <w:lang w:val="ro-RO"/>
        </w:rPr>
        <w:t>PROCES VERBAL DE PREDARE-PRIMIRE AMPLASAMENT SPARGERE</w:t>
      </w:r>
    </w:p>
    <w:p>
      <w:pPr>
        <w:numPr>
          <w:ilvl w:val="0"/>
          <w:numId w:val="0"/>
        </w:numPr>
        <w:suppressAutoHyphens/>
        <w:wordWrap/>
        <w:jc w:val="center"/>
        <w:rPr>
          <w:rFonts w:hint="default"/>
          <w:b/>
          <w:bCs w:val="0"/>
          <w:i w:val="0"/>
          <w:iCs w:val="0"/>
          <w:sz w:val="28"/>
          <w:szCs w:val="28"/>
          <w:highlight w:val="none"/>
          <w:lang w:val="ro-RO"/>
        </w:rPr>
      </w:pPr>
    </w:p>
    <w:p>
      <w:pPr>
        <w:numPr>
          <w:ilvl w:val="0"/>
          <w:numId w:val="0"/>
        </w:numPr>
        <w:suppressAutoHyphens/>
        <w:wordWrap/>
        <w:jc w:val="both"/>
        <w:rPr>
          <w:rFonts w:hint="default"/>
          <w:b w:val="0"/>
          <w:bCs/>
          <w:i w:val="0"/>
          <w:iCs w:val="0"/>
          <w:sz w:val="28"/>
          <w:szCs w:val="28"/>
          <w:highlight w:val="none"/>
          <w:lang w:val="ro-RO"/>
        </w:rPr>
      </w:pPr>
      <w:r>
        <w:rPr>
          <w:rFonts w:hint="default"/>
          <w:b w:val="0"/>
          <w:bCs/>
          <w:i w:val="0"/>
          <w:iCs w:val="0"/>
          <w:sz w:val="28"/>
          <w:szCs w:val="28"/>
          <w:highlight w:val="none"/>
          <w:lang w:val="ro-RO"/>
        </w:rPr>
        <w:t xml:space="preserve">Încheiat astăzi _____________________ cu ocazia predării de către Primăria Comunei Semlac, județul Arad prin reprezentant _______________________________ către _________________________________, în calitate de constructor a amplasamentului de spargere, menționat în fișa obiectiv, conform avizului de principiu nr. _____________ din data ___________________. </w:t>
      </w:r>
    </w:p>
    <w:p>
      <w:pPr>
        <w:numPr>
          <w:ilvl w:val="0"/>
          <w:numId w:val="0"/>
        </w:numPr>
        <w:suppressAutoHyphens/>
        <w:wordWrap/>
        <w:jc w:val="both"/>
        <w:rPr>
          <w:rFonts w:hint="default"/>
          <w:b w:val="0"/>
          <w:bCs/>
          <w:i w:val="0"/>
          <w:iCs w:val="0"/>
          <w:sz w:val="28"/>
          <w:szCs w:val="28"/>
          <w:highlight w:val="none"/>
          <w:lang w:val="ro-RO"/>
        </w:rPr>
      </w:pPr>
      <w:r>
        <w:rPr>
          <w:rFonts w:hint="default"/>
          <w:b w:val="0"/>
          <w:bCs/>
          <w:i w:val="0"/>
          <w:iCs w:val="0"/>
          <w:sz w:val="28"/>
          <w:szCs w:val="28"/>
          <w:highlight w:val="none"/>
          <w:lang w:val="ro-RO"/>
        </w:rPr>
        <w:t>În acest scop, de comun acord se stabilesc următoarele:</w:t>
      </w:r>
    </w:p>
    <w:p>
      <w:pPr>
        <w:numPr>
          <w:ilvl w:val="0"/>
          <w:numId w:val="1"/>
        </w:numPr>
        <w:suppressAutoHyphens/>
        <w:wordWrap/>
        <w:jc w:val="both"/>
        <w:rPr>
          <w:rFonts w:hint="default"/>
          <w:b w:val="0"/>
          <w:bCs/>
          <w:i w:val="0"/>
          <w:iCs w:val="0"/>
          <w:sz w:val="28"/>
          <w:szCs w:val="28"/>
          <w:highlight w:val="none"/>
          <w:lang w:val="ro-RO"/>
        </w:rPr>
      </w:pPr>
      <w:r>
        <w:rPr>
          <w:rFonts w:hint="default"/>
          <w:b w:val="0"/>
          <w:bCs/>
          <w:i w:val="0"/>
          <w:iCs w:val="0"/>
          <w:sz w:val="28"/>
          <w:szCs w:val="28"/>
          <w:highlight w:val="none"/>
          <w:lang w:val="ro-RO"/>
        </w:rPr>
        <w:t>În vederea eliberării procesului verbal de predare a amplasamentului, constructorul va prezenta următoarele documente:</w:t>
      </w:r>
    </w:p>
    <w:p>
      <w:pPr>
        <w:numPr>
          <w:ilvl w:val="0"/>
          <w:numId w:val="2"/>
        </w:numPr>
        <w:suppressAutoHyphens/>
        <w:wordWrap/>
        <w:ind w:left="420" w:leftChars="0" w:hanging="420" w:firstLineChars="0"/>
        <w:jc w:val="both"/>
        <w:rPr>
          <w:rFonts w:hint="default"/>
          <w:b w:val="0"/>
          <w:bCs/>
          <w:i w:val="0"/>
          <w:iCs w:val="0"/>
          <w:sz w:val="28"/>
          <w:szCs w:val="28"/>
          <w:highlight w:val="none"/>
          <w:lang w:val="ro-RO"/>
        </w:rPr>
      </w:pPr>
      <w:r>
        <w:rPr>
          <w:rFonts w:hint="default"/>
          <w:b w:val="0"/>
          <w:bCs/>
          <w:i w:val="0"/>
          <w:iCs w:val="0"/>
          <w:sz w:val="28"/>
          <w:szCs w:val="28"/>
          <w:highlight w:val="none"/>
          <w:lang w:val="ro-RO"/>
        </w:rPr>
        <w:t>Contract de refacere încheiat cu o firmă specializată în vederea refacerii sistemului rutier al părții carosabile și/sau a trotuarului în cazul în care acestea vor fi afectate.</w:t>
      </w:r>
    </w:p>
    <w:p>
      <w:pPr>
        <w:numPr>
          <w:ilvl w:val="0"/>
          <w:numId w:val="2"/>
        </w:numPr>
        <w:suppressAutoHyphens/>
        <w:wordWrap/>
        <w:ind w:left="420" w:leftChars="0" w:hanging="420" w:firstLineChars="0"/>
        <w:jc w:val="both"/>
        <w:rPr>
          <w:rFonts w:hint="default"/>
          <w:b w:val="0"/>
          <w:bCs/>
          <w:i w:val="0"/>
          <w:iCs w:val="0"/>
          <w:sz w:val="28"/>
          <w:szCs w:val="28"/>
          <w:highlight w:val="none"/>
          <w:lang w:val="ro-RO"/>
        </w:rPr>
      </w:pPr>
      <w:r>
        <w:rPr>
          <w:rFonts w:hint="default"/>
          <w:b w:val="0"/>
          <w:bCs/>
          <w:i w:val="0"/>
          <w:iCs w:val="0"/>
          <w:sz w:val="28"/>
          <w:szCs w:val="28"/>
          <w:highlight w:val="none"/>
          <w:lang w:val="ro-RO"/>
        </w:rPr>
        <w:t xml:space="preserve">Contract de refacere a distrugerilor de pe zona verde amenajată, încheiat cu o firmă specializată în acest sens, în cazul spațiilor verzi neamenajate constructorul având obligația de a nivela terenul. </w:t>
      </w:r>
    </w:p>
    <w:p>
      <w:pPr>
        <w:numPr>
          <w:ilvl w:val="0"/>
          <w:numId w:val="1"/>
        </w:numPr>
        <w:suppressAutoHyphens/>
        <w:wordWrap/>
        <w:ind w:left="0" w:leftChars="0" w:firstLine="0" w:firstLineChars="0"/>
        <w:jc w:val="both"/>
        <w:rPr>
          <w:rFonts w:hint="default"/>
          <w:b w:val="0"/>
          <w:bCs/>
          <w:i w:val="0"/>
          <w:iCs w:val="0"/>
          <w:sz w:val="28"/>
          <w:szCs w:val="28"/>
          <w:highlight w:val="none"/>
          <w:lang w:val="ro-RO"/>
        </w:rPr>
      </w:pPr>
      <w:r>
        <w:rPr>
          <w:rFonts w:hint="default"/>
          <w:b w:val="0"/>
          <w:bCs/>
          <w:i w:val="0"/>
          <w:iCs w:val="0"/>
          <w:sz w:val="28"/>
          <w:szCs w:val="28"/>
          <w:highlight w:val="none"/>
          <w:lang w:val="ro-RO"/>
        </w:rPr>
        <w:t>Lucrările se execută pe traseul aprobat în cadrul A.C. nr. _____ din data______. Lucrările care afectează rețeaua stradală se vor executa numai cu dispozitive de tăiat echipate cu disc diamantat, astfel încât să nu fie afectat sistemul rutier decât pe lățimea intervenției. În caz contrar, constructorul are obligația să plătească refacererea trotuarului sau a părții carosabile dupa caz pe toată lățimea acestora.</w:t>
      </w:r>
    </w:p>
    <w:p>
      <w:pPr>
        <w:numPr>
          <w:ilvl w:val="0"/>
          <w:numId w:val="1"/>
        </w:numPr>
        <w:suppressAutoHyphens/>
        <w:wordWrap/>
        <w:ind w:left="0" w:leftChars="0" w:firstLine="0" w:firstLineChars="0"/>
        <w:jc w:val="both"/>
        <w:rPr>
          <w:rFonts w:hint="default"/>
          <w:b w:val="0"/>
          <w:bCs/>
          <w:i w:val="0"/>
          <w:iCs w:val="0"/>
          <w:sz w:val="28"/>
          <w:szCs w:val="28"/>
          <w:highlight w:val="none"/>
          <w:lang w:val="ro-RO"/>
        </w:rPr>
      </w:pPr>
      <w:r>
        <w:rPr>
          <w:rFonts w:hint="default"/>
          <w:b w:val="0"/>
          <w:bCs/>
          <w:i w:val="0"/>
          <w:iCs w:val="0"/>
          <w:sz w:val="28"/>
          <w:szCs w:val="28"/>
          <w:highlight w:val="none"/>
          <w:lang w:val="ro-RO"/>
        </w:rPr>
        <w:t xml:space="preserve">Constructorul ___________________________ are obligația evacuării pământului și molozului, rezultat din săpătură, </w:t>
      </w:r>
      <w:r>
        <w:rPr>
          <w:rFonts w:hint="default"/>
          <w:b/>
          <w:bCs w:val="0"/>
          <w:i w:val="0"/>
          <w:iCs w:val="0"/>
          <w:sz w:val="28"/>
          <w:szCs w:val="28"/>
          <w:highlight w:val="none"/>
          <w:u w:val="single"/>
          <w:lang w:val="ro-RO"/>
        </w:rPr>
        <w:t>în totalitate.</w:t>
      </w:r>
    </w:p>
    <w:p>
      <w:pPr>
        <w:numPr>
          <w:ilvl w:val="0"/>
          <w:numId w:val="1"/>
        </w:numPr>
        <w:suppressAutoHyphens/>
        <w:wordWrap/>
        <w:ind w:left="0" w:leftChars="0" w:firstLine="0" w:firstLineChars="0"/>
        <w:jc w:val="both"/>
        <w:rPr>
          <w:rFonts w:hint="default"/>
          <w:b w:val="0"/>
          <w:bCs/>
          <w:i w:val="0"/>
          <w:iCs w:val="0"/>
          <w:sz w:val="28"/>
          <w:szCs w:val="28"/>
          <w:highlight w:val="none"/>
          <w:lang w:val="ro-RO"/>
        </w:rPr>
      </w:pPr>
      <w:r>
        <w:rPr>
          <w:rFonts w:hint="default"/>
          <w:b w:val="0"/>
          <w:bCs/>
          <w:i w:val="0"/>
          <w:iCs w:val="0"/>
          <w:sz w:val="28"/>
          <w:szCs w:val="28"/>
          <w:highlight w:val="none"/>
          <w:u w:val="none"/>
          <w:lang w:val="ro-RO"/>
        </w:rPr>
        <w:t>Umplutura se execută numai cu nisip pilonat și balast cilindrat, pana la nivelul superior al sistemului rutier, exceptând cazurile în care în normativele instalatiilor prevăd umplutură cu pământ, care va fi compactat la umiditatea optimă cu dispozitive adecvate (placă vibratoare, mai mecanic, etc.)</w:t>
      </w:r>
    </w:p>
    <w:p>
      <w:pPr>
        <w:numPr>
          <w:ilvl w:val="0"/>
          <w:numId w:val="1"/>
        </w:numPr>
        <w:suppressAutoHyphens/>
        <w:wordWrap/>
        <w:ind w:left="0" w:leftChars="0" w:firstLine="0" w:firstLineChars="0"/>
        <w:jc w:val="both"/>
        <w:rPr>
          <w:rFonts w:hint="default"/>
          <w:b w:val="0"/>
          <w:bCs/>
          <w:i w:val="0"/>
          <w:iCs w:val="0"/>
          <w:sz w:val="28"/>
          <w:szCs w:val="28"/>
          <w:highlight w:val="none"/>
          <w:lang w:val="ro-RO"/>
        </w:rPr>
      </w:pPr>
      <w:r>
        <w:rPr>
          <w:rFonts w:hint="default"/>
          <w:b w:val="0"/>
          <w:bCs/>
          <w:i w:val="0"/>
          <w:iCs w:val="0"/>
          <w:sz w:val="28"/>
          <w:szCs w:val="28"/>
          <w:highlight w:val="none"/>
          <w:u w:val="none"/>
          <w:lang w:val="ro-RO"/>
        </w:rPr>
        <w:t>Semnalizarea punctului de lucru și dirijarea circulației se va face atât pe timp de zi cât și pe timp de noapte, conform instrucțiunilor și normelor în vigoare, privind condițiile de închidere a circulației sau de instituire a restricțiilor în vederea executării lucrărilor în zona drumurilor de utilitate publică și va fi in sarcina celui care a preluat amplasamentul.</w:t>
      </w:r>
    </w:p>
    <w:p>
      <w:pPr>
        <w:numPr>
          <w:ilvl w:val="0"/>
          <w:numId w:val="1"/>
        </w:numPr>
        <w:suppressAutoHyphens/>
        <w:wordWrap/>
        <w:ind w:left="0" w:leftChars="0" w:firstLine="0" w:firstLineChars="0"/>
        <w:jc w:val="both"/>
        <w:rPr>
          <w:rFonts w:hint="default"/>
          <w:b w:val="0"/>
          <w:bCs/>
          <w:i w:val="0"/>
          <w:iCs w:val="0"/>
          <w:sz w:val="28"/>
          <w:szCs w:val="28"/>
          <w:highlight w:val="none"/>
          <w:lang w:val="ro-RO"/>
        </w:rPr>
      </w:pPr>
      <w:r>
        <w:rPr>
          <w:rFonts w:hint="default"/>
          <w:b w:val="0"/>
          <w:bCs/>
          <w:i w:val="0"/>
          <w:iCs w:val="0"/>
          <w:sz w:val="28"/>
          <w:szCs w:val="28"/>
          <w:highlight w:val="none"/>
          <w:u w:val="none"/>
          <w:lang w:val="ro-RO"/>
        </w:rPr>
        <w:t>Începând cu data predării amplasamentului lucrării de către Primaria Comunei Semlac către constructorul de utilitați, pana la data predării amplasamentului respectiv, constructorul _____________________________ răspunde pentru prejudiciile cauzate terților în cazul eventualelor accidente de circulație din zona lucrării.</w:t>
      </w:r>
    </w:p>
    <w:p>
      <w:pPr>
        <w:numPr>
          <w:ilvl w:val="0"/>
          <w:numId w:val="1"/>
        </w:numPr>
        <w:suppressAutoHyphens/>
        <w:wordWrap/>
        <w:ind w:left="0" w:leftChars="0" w:firstLine="0" w:firstLineChars="0"/>
        <w:jc w:val="both"/>
        <w:rPr>
          <w:rFonts w:hint="default"/>
          <w:b w:val="0"/>
          <w:bCs/>
          <w:i w:val="0"/>
          <w:iCs w:val="0"/>
          <w:sz w:val="28"/>
          <w:szCs w:val="28"/>
          <w:highlight w:val="none"/>
          <w:lang w:val="ro-RO"/>
        </w:rPr>
      </w:pPr>
      <w:r>
        <w:rPr>
          <w:rFonts w:hint="default"/>
          <w:b w:val="0"/>
          <w:bCs/>
          <w:i w:val="0"/>
          <w:iCs w:val="0"/>
          <w:sz w:val="28"/>
          <w:szCs w:val="28"/>
          <w:highlight w:val="none"/>
          <w:u w:val="none"/>
          <w:lang w:val="ro-RO"/>
        </w:rPr>
        <w:t>Zona verde amenajată se va evalua înainte de spargere (arbori, arbuști, flori anuale sau perene, etc).</w:t>
      </w:r>
    </w:p>
    <w:p>
      <w:pPr>
        <w:numPr>
          <w:ilvl w:val="0"/>
          <w:numId w:val="1"/>
        </w:numPr>
        <w:suppressAutoHyphens/>
        <w:wordWrap/>
        <w:ind w:left="0" w:leftChars="0" w:firstLine="0" w:firstLineChars="0"/>
        <w:jc w:val="both"/>
        <w:rPr>
          <w:rFonts w:hint="default"/>
          <w:b w:val="0"/>
          <w:bCs/>
          <w:i w:val="0"/>
          <w:iCs w:val="0"/>
          <w:sz w:val="28"/>
          <w:szCs w:val="28"/>
          <w:highlight w:val="none"/>
          <w:lang w:val="ro-RO"/>
        </w:rPr>
      </w:pPr>
      <w:r>
        <w:rPr>
          <w:rFonts w:hint="default"/>
          <w:b w:val="0"/>
          <w:bCs/>
          <w:i w:val="0"/>
          <w:iCs w:val="0"/>
          <w:sz w:val="28"/>
          <w:szCs w:val="28"/>
          <w:highlight w:val="none"/>
          <w:u w:val="none"/>
          <w:lang w:val="ro-RO"/>
        </w:rPr>
        <w:t xml:space="preserve">La terminarea lucrărilor se vor prezenta de către constructorul de utilități, procesele verbale de lucrări ascunse, cât și certificatele de calitate a materialelor puse în operă, buletinele de analiză privind compactarea, emise de un laborator autorizat gr. II, în vederea efectuării recepției preliminare, precum și documente privind refacerea de zonă verde afectată. </w:t>
      </w:r>
    </w:p>
    <w:p>
      <w:pPr>
        <w:numPr>
          <w:ilvl w:val="0"/>
          <w:numId w:val="1"/>
        </w:numPr>
        <w:suppressAutoHyphens/>
        <w:wordWrap/>
        <w:ind w:left="0" w:leftChars="0" w:firstLine="0" w:firstLineChars="0"/>
        <w:jc w:val="both"/>
        <w:rPr>
          <w:rFonts w:hint="default"/>
          <w:b w:val="0"/>
          <w:bCs/>
          <w:i w:val="0"/>
          <w:iCs w:val="0"/>
          <w:sz w:val="28"/>
          <w:szCs w:val="28"/>
          <w:highlight w:val="none"/>
          <w:lang w:val="ro-RO"/>
        </w:rPr>
      </w:pPr>
      <w:r>
        <w:rPr>
          <w:rFonts w:hint="default"/>
          <w:b w:val="0"/>
          <w:bCs/>
          <w:i w:val="0"/>
          <w:iCs w:val="0"/>
          <w:sz w:val="28"/>
          <w:szCs w:val="28"/>
          <w:highlight w:val="none"/>
          <w:u w:val="none"/>
          <w:lang w:val="ro-RO"/>
        </w:rPr>
        <w:t xml:space="preserve"> Comportarea în timp a carosabilului refăcut va fi indentică cu a sistemului rutier adiacent.</w:t>
      </w:r>
    </w:p>
    <w:p>
      <w:pPr>
        <w:numPr>
          <w:ilvl w:val="0"/>
          <w:numId w:val="0"/>
        </w:numPr>
        <w:suppressAutoHyphens/>
        <w:wordWrap/>
        <w:jc w:val="both"/>
        <w:rPr>
          <w:rFonts w:hint="default"/>
          <w:b w:val="0"/>
          <w:bCs/>
          <w:i w:val="0"/>
          <w:iCs w:val="0"/>
          <w:sz w:val="28"/>
          <w:szCs w:val="28"/>
          <w:highlight w:val="none"/>
          <w:u w:val="none"/>
          <w:lang w:val="ro-RO"/>
        </w:rPr>
      </w:pPr>
    </w:p>
    <w:p>
      <w:pPr>
        <w:numPr>
          <w:ilvl w:val="0"/>
          <w:numId w:val="0"/>
        </w:numPr>
        <w:suppressAutoHyphens/>
        <w:wordWrap/>
        <w:ind w:firstLine="720" w:firstLineChars="0"/>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Orice defecțiune apărută în timp în sectorul de drum refăcut cade în sarcina celui ce a executat lucrarea de refacere. Răspunderea pentru executarea lucrărilor încetează numai în cazul în care se execută alte lucrări ulterioare de amenajare a străzii, care afectează amplasamentul lucrării care a necesitat refacere. Eventualele degradări apărute în această perioadă se vor remedia de către constructor, conform art. 23, lit. k) din Legea nr. 10/1995, privind calitatea în construcții.</w:t>
      </w:r>
    </w:p>
    <w:p>
      <w:pPr>
        <w:numPr>
          <w:ilvl w:val="0"/>
          <w:numId w:val="0"/>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ab/>
      </w:r>
      <w:r>
        <w:rPr>
          <w:rFonts w:hint="default"/>
          <w:b w:val="0"/>
          <w:bCs/>
          <w:i w:val="0"/>
          <w:iCs w:val="0"/>
          <w:sz w:val="28"/>
          <w:szCs w:val="28"/>
          <w:highlight w:val="none"/>
          <w:u w:val="none"/>
          <w:lang w:val="ro-RO"/>
        </w:rPr>
        <w:t xml:space="preserve">Nepredarea amplasamentului către Primăria Comunei Semlac, la data stabilită în graficul de execuție, poate atrage după sine interdictia pentru constructorul de utilitati de a mai efectua lucrari pe domeniul public. </w:t>
      </w:r>
    </w:p>
    <w:p>
      <w:pPr>
        <w:numPr>
          <w:ilvl w:val="0"/>
          <w:numId w:val="0"/>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 xml:space="preserve">Prezentul proces verbal impreuna cu anexele sale s-au întocmit în doua exemplare originale, una pentru fiecare parte. </w:t>
      </w:r>
    </w:p>
    <w:p>
      <w:pPr>
        <w:numPr>
          <w:ilvl w:val="0"/>
          <w:numId w:val="0"/>
        </w:numPr>
        <w:suppressAutoHyphens/>
        <w:wordWrap/>
        <w:jc w:val="both"/>
        <w:rPr>
          <w:rFonts w:hint="default"/>
          <w:b w:val="0"/>
          <w:bCs/>
          <w:i w:val="0"/>
          <w:iCs w:val="0"/>
          <w:sz w:val="28"/>
          <w:szCs w:val="28"/>
          <w:highlight w:val="none"/>
          <w:u w:val="none"/>
          <w:lang w:val="ro-RO"/>
        </w:rPr>
      </w:pPr>
    </w:p>
    <w:p>
      <w:pPr>
        <w:numPr>
          <w:ilvl w:val="0"/>
          <w:numId w:val="0"/>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Primarul Comunei Semlac,                                               Compartiment urbanism,</w:t>
      </w:r>
    </w:p>
    <w:p>
      <w:pPr>
        <w:numPr>
          <w:ilvl w:val="0"/>
          <w:numId w:val="0"/>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______________________                                                  ___________________</w:t>
      </w:r>
    </w:p>
    <w:p>
      <w:pPr>
        <w:numPr>
          <w:ilvl w:val="0"/>
          <w:numId w:val="0"/>
        </w:numPr>
        <w:suppressAutoHyphens/>
        <w:wordWrap/>
        <w:jc w:val="both"/>
        <w:rPr>
          <w:rFonts w:hint="default"/>
          <w:b w:val="0"/>
          <w:bCs/>
          <w:i w:val="0"/>
          <w:iCs w:val="0"/>
          <w:sz w:val="28"/>
          <w:szCs w:val="28"/>
          <w:highlight w:val="none"/>
          <w:u w:val="none"/>
          <w:lang w:val="ro-RO"/>
        </w:rPr>
      </w:pPr>
    </w:p>
    <w:p>
      <w:pPr>
        <w:numPr>
          <w:ilvl w:val="0"/>
          <w:numId w:val="0"/>
        </w:numPr>
        <w:suppressAutoHyphens/>
        <w:wordWrap/>
        <w:jc w:val="both"/>
        <w:rPr>
          <w:rFonts w:hint="default"/>
          <w:b w:val="0"/>
          <w:bCs/>
          <w:i w:val="0"/>
          <w:iCs w:val="0"/>
          <w:sz w:val="28"/>
          <w:szCs w:val="28"/>
          <w:highlight w:val="none"/>
          <w:u w:val="none"/>
          <w:lang w:val="ro-RO"/>
        </w:rPr>
      </w:pPr>
    </w:p>
    <w:p>
      <w:pPr>
        <w:numPr>
          <w:ilvl w:val="0"/>
          <w:numId w:val="0"/>
        </w:numPr>
        <w:pBdr>
          <w:bottom w:val="single" w:color="auto" w:sz="12" w:space="0"/>
        </w:pBd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 xml:space="preserve">Constructor, </w:t>
      </w:r>
    </w:p>
    <w:p>
      <w:pPr>
        <w:numPr>
          <w:ilvl w:val="0"/>
          <w:numId w:val="0"/>
        </w:numPr>
        <w:pBdr>
          <w:bottom w:val="single" w:color="auto" w:sz="12" w:space="0"/>
        </w:pBdr>
        <w:suppressAutoHyphens/>
        <w:wordWrap/>
        <w:jc w:val="both"/>
        <w:rPr>
          <w:rFonts w:hint="default"/>
          <w:b w:val="0"/>
          <w:bCs/>
          <w:i w:val="0"/>
          <w:iCs w:val="0"/>
          <w:sz w:val="28"/>
          <w:szCs w:val="28"/>
          <w:highlight w:val="none"/>
          <w:u w:val="none"/>
          <w:lang w:val="ro-RO"/>
        </w:rPr>
      </w:pPr>
    </w:p>
    <w:p>
      <w:pPr>
        <w:numPr>
          <w:ilvl w:val="0"/>
          <w:numId w:val="0"/>
        </w:numPr>
        <w:pBdr>
          <w:bottom w:val="single" w:color="auto" w:sz="12" w:space="0"/>
        </w:pBdr>
        <w:suppressAutoHyphens/>
        <w:wordWrap/>
        <w:jc w:val="both"/>
        <w:rPr>
          <w:rFonts w:hint="default"/>
          <w:b w:val="0"/>
          <w:bCs/>
          <w:i w:val="0"/>
          <w:iCs w:val="0"/>
          <w:sz w:val="28"/>
          <w:szCs w:val="28"/>
          <w:highlight w:val="none"/>
          <w:u w:val="none"/>
          <w:lang w:val="ro-RO"/>
        </w:rPr>
      </w:pPr>
    </w:p>
    <w:p>
      <w:pPr>
        <w:numPr>
          <w:ilvl w:val="0"/>
          <w:numId w:val="0"/>
        </w:numPr>
        <w:pBdr>
          <w:bottom w:val="single" w:color="auto" w:sz="12" w:space="0"/>
        </w:pBdr>
        <w:suppressAutoHyphens/>
        <w:wordWrap/>
        <w:jc w:val="both"/>
        <w:rPr>
          <w:rFonts w:hint="default"/>
          <w:b w:val="0"/>
          <w:bCs/>
          <w:i w:val="0"/>
          <w:iCs w:val="0"/>
          <w:sz w:val="28"/>
          <w:szCs w:val="28"/>
          <w:highlight w:val="none"/>
          <w:u w:val="none"/>
          <w:lang w:val="ro-RO"/>
        </w:rPr>
      </w:pPr>
    </w:p>
    <w:p>
      <w:pPr>
        <w:numPr>
          <w:ilvl w:val="0"/>
          <w:numId w:val="0"/>
        </w:numPr>
        <w:suppressAutoHyphens/>
        <w:wordWrap/>
        <w:jc w:val="both"/>
        <w:rPr>
          <w:rFonts w:hint="default"/>
          <w:b w:val="0"/>
          <w:bCs/>
          <w:i w:val="0"/>
          <w:iCs w:val="0"/>
          <w:sz w:val="28"/>
          <w:szCs w:val="28"/>
          <w:highlight w:val="none"/>
          <w:u w:val="none"/>
          <w:lang w:val="ro-RO"/>
        </w:rPr>
      </w:pPr>
    </w:p>
    <w:p>
      <w:pPr>
        <w:numPr>
          <w:ilvl w:val="0"/>
          <w:numId w:val="0"/>
        </w:numPr>
        <w:suppressAutoHyphens/>
        <w:wordWrap/>
        <w:jc w:val="both"/>
        <w:rPr>
          <w:rFonts w:hint="default"/>
          <w:b w:val="0"/>
          <w:bCs/>
          <w:i w:val="0"/>
          <w:iCs w:val="0"/>
          <w:sz w:val="28"/>
          <w:szCs w:val="28"/>
          <w:highlight w:val="none"/>
          <w:u w:val="none"/>
          <w:lang w:val="ro-RO"/>
        </w:rPr>
      </w:pPr>
    </w:p>
    <w:p>
      <w:pPr>
        <w:numPr>
          <w:ilvl w:val="0"/>
          <w:numId w:val="0"/>
        </w:numPr>
        <w:suppressAutoHyphens/>
        <w:wordWrap/>
        <w:jc w:val="both"/>
        <w:rPr>
          <w:rFonts w:hint="default"/>
          <w:b w:val="0"/>
          <w:bCs/>
          <w:i w:val="0"/>
          <w:iCs w:val="0"/>
          <w:sz w:val="28"/>
          <w:szCs w:val="28"/>
          <w:highlight w:val="none"/>
          <w:u w:val="none"/>
          <w:lang w:val="ro-RO"/>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8B17F9"/>
    <w:multiLevelType w:val="singleLevel"/>
    <w:tmpl w:val="D58B17F9"/>
    <w:lvl w:ilvl="0" w:tentative="0">
      <w:start w:val="1"/>
      <w:numFmt w:val="decimal"/>
      <w:suff w:val="space"/>
      <w:lvlText w:val="%1."/>
      <w:lvlJc w:val="left"/>
    </w:lvl>
  </w:abstractNum>
  <w:abstractNum w:abstractNumId="1">
    <w:nsid w:val="036E6CB1"/>
    <w:multiLevelType w:val="singleLevel"/>
    <w:tmpl w:val="036E6CB1"/>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75588"/>
    <w:rsid w:val="4F375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lang w:val="en-US" w:eastAsia="ar-SA"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2023-02-21T14:30:00Z</dcterms:created>
  <dc:creator>Blanca Caraculea</dc:creator>
  <cp:lastModifiedBy>Blanca Caraculea</cp:lastModifiedBy>
  <dcterms:modified xsi:type="dcterms:W3CDTF">2023-02-21T14:30:31Z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F61D6B61E2724785A5BA2D2AAAEA24CD</vt:lpwstr>
  </property>
</Properties>
</file>