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uppressAutoHyphens/>
        <w:wordWrap/>
        <w:jc w:val="center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pPr>
        <w:numPr>
          <w:ilvl w:val="0"/>
          <w:numId w:val="0"/>
        </w:numPr>
        <w:suppressAutoHyphens/>
        <w:wordWrap w:val="0"/>
        <w:jc w:val="right"/>
        <w:rPr>
          <w:rFonts w:hint="default"/>
          <w:b/>
          <w:bCs w:val="0"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u w:val="none"/>
          <w:lang w:val="ro-RO"/>
        </w:rPr>
        <w:t xml:space="preserve">Anexa nr. 4.2. </w:t>
      </w:r>
    </w:p>
    <w:p>
      <w:pPr>
        <w:numPr>
          <w:ilvl w:val="0"/>
          <w:numId w:val="0"/>
        </w:numPr>
        <w:suppressAutoHyphens/>
        <w:wordWrap w:val="0"/>
        <w:jc w:val="right"/>
        <w:rPr>
          <w:rFonts w:hint="default"/>
          <w:b/>
          <w:bCs w:val="0"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u w:val="none"/>
          <w:lang w:val="ro-RO"/>
        </w:rPr>
        <w:t>Anexa la PV predare-primire amplasament spargere</w:t>
      </w:r>
    </w:p>
    <w:p>
      <w:pPr>
        <w:numPr>
          <w:ilvl w:val="0"/>
          <w:numId w:val="0"/>
        </w:numPr>
        <w:suppressAutoHyphens/>
        <w:wordWrap/>
        <w:jc w:val="right"/>
        <w:rPr>
          <w:rFonts w:hint="default"/>
          <w:b/>
          <w:bCs w:val="0"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pPr>
        <w:numPr>
          <w:ilvl w:val="0"/>
          <w:numId w:val="0"/>
        </w:numPr>
        <w:suppressAutoHyphens/>
        <w:wordWrap/>
        <w:jc w:val="right"/>
        <w:rPr>
          <w:rFonts w:hint="default"/>
          <w:b/>
          <w:bCs w:val="0"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pPr>
        <w:numPr>
          <w:ilvl w:val="0"/>
          <w:numId w:val="0"/>
        </w:numPr>
        <w:suppressAutoHyphens/>
        <w:wordWrap/>
        <w:jc w:val="center"/>
        <w:rPr>
          <w:rFonts w:hint="default"/>
          <w:b/>
          <w:bCs w:val="0"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u w:val="none"/>
          <w:lang w:val="ro-RO"/>
        </w:rPr>
        <w:t>GRAFIC DE EXECUȚIE</w:t>
      </w:r>
    </w:p>
    <w:p>
      <w:pPr>
        <w:numPr>
          <w:ilvl w:val="0"/>
          <w:numId w:val="0"/>
        </w:numPr>
        <w:suppressAutoHyphens/>
        <w:wordWrap/>
        <w:jc w:val="center"/>
        <w:rPr>
          <w:rFonts w:hint="default"/>
          <w:b/>
          <w:bCs w:val="0"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pPr>
        <w:numPr>
          <w:ilvl w:val="0"/>
          <w:numId w:val="0"/>
        </w:numPr>
        <w:suppressAutoHyphens/>
        <w:wordWrap/>
        <w:jc w:val="center"/>
        <w:rPr>
          <w:rFonts w:hint="default"/>
          <w:b/>
          <w:bCs w:val="0"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u w:val="none"/>
          <w:lang w:val="ro-RO"/>
        </w:rPr>
        <w:t>Perioada de execuție:</w:t>
      </w: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pPr>
        <w:numPr>
          <w:ilvl w:val="0"/>
          <w:numId w:val="1"/>
        </w:numPr>
        <w:suppressAutoHyphens/>
        <w:wordWrap/>
        <w:ind w:left="420" w:leftChars="0" w:hanging="420" w:firstLineChars="0"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Pentru societatea comercială care execută lucrările tehnico-edilitare _____zile de la data primirii amplasamentului;</w:t>
      </w:r>
    </w:p>
    <w:p>
      <w:pPr>
        <w:numPr>
          <w:ilvl w:val="0"/>
          <w:numId w:val="1"/>
        </w:numPr>
        <w:suppressAutoHyphens/>
        <w:wordWrap/>
        <w:ind w:left="420" w:leftChars="0" w:hanging="420" w:firstLineChars="0"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Data primirii amplasamentului de către societatea comercială care execută lucrările tehnico-edilitare: _________________________</w:t>
      </w:r>
    </w:p>
    <w:p>
      <w:pPr>
        <w:numPr>
          <w:ilvl w:val="0"/>
          <w:numId w:val="1"/>
        </w:numPr>
        <w:suppressAutoHyphens/>
        <w:wordWrap/>
        <w:ind w:left="420" w:leftChars="0" w:hanging="420" w:firstLineChars="0"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Pentru societatea comercială care execută lucrările de refacere _____ zile de la data preluării amplasamentului de la societatea comercială care execută lucrările tehnico-edilitare;</w:t>
      </w: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ab/>
      </w: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Societatea comercială care execută lucrările de refacere rămâne răspunzătoare pentru buna execuție a lucrărilor de refacere a tramei stradale pe o perioadă de 2 ani de zile de la data predării amplasamentului.</w:t>
      </w: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ab/>
      </w: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Data predării amplasamentului către Primăria Comunei Semlac _______________________</w:t>
      </w: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Observații:</w:t>
      </w: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Primar,                                                                             Arhitect șef,</w:t>
      </w: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02E7D3"/>
    <w:multiLevelType w:val="singleLevel"/>
    <w:tmpl w:val="BA02E7D3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A266A"/>
    <w:rsid w:val="66EA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en-US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2023-02-21T14:31:00Z</dcterms:created>
  <dc:creator>Blanca Caraculea</dc:creator>
  <cp:lastModifiedBy>Blanca Caraculea</cp:lastModifiedBy>
  <dcterms:modified xsi:type="dcterms:W3CDTF">2023-02-21T14:31:18Z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DB72C9278967458B9EE96CD0EC07B21C</vt:lpwstr>
  </property>
</Properties>
</file>